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F3D89" w14:textId="7B8E4726" w:rsidR="00E54BEE" w:rsidRDefault="00E54BEE" w:rsidP="00E54BEE">
      <w:pPr>
        <w:pStyle w:val="Header"/>
        <w:tabs>
          <w:tab w:val="right" w:pos="9356"/>
          <w:tab w:val="right" w:pos="10206"/>
        </w:tabs>
        <w:rPr>
          <w:rFonts w:cs="Arial"/>
          <w:i/>
          <w:sz w:val="24"/>
        </w:rPr>
      </w:pPr>
      <w:bookmarkStart w:id="0" w:name="_Toc491868096"/>
      <w:r>
        <w:rPr>
          <w:rFonts w:cs="Arial"/>
          <w:sz w:val="24"/>
        </w:rPr>
        <w:t>TSG-RAN Working Group 4 (Radio) meeting AH-1807</w:t>
      </w:r>
      <w:r>
        <w:rPr>
          <w:rFonts w:cs="Arial"/>
          <w:i/>
          <w:sz w:val="24"/>
        </w:rPr>
        <w:tab/>
      </w:r>
      <w:r w:rsidRPr="001F0AB0">
        <w:rPr>
          <w:rFonts w:cs="Arial"/>
          <w:iCs/>
          <w:sz w:val="24"/>
        </w:rPr>
        <w:t>R4-</w:t>
      </w:r>
      <w:r w:rsidR="001F0AB0" w:rsidRPr="001F0AB0">
        <w:rPr>
          <w:rFonts w:cs="Arial"/>
          <w:iCs/>
          <w:sz w:val="24"/>
        </w:rPr>
        <w:t>1809093</w:t>
      </w:r>
    </w:p>
    <w:p w14:paraId="44488C55" w14:textId="77777777" w:rsidR="00E54BEE" w:rsidRPr="001767EF" w:rsidRDefault="00E54BEE" w:rsidP="00E54BEE">
      <w:pPr>
        <w:pStyle w:val="CRCoverPage"/>
        <w:outlineLvl w:val="0"/>
        <w:rPr>
          <w:b/>
          <w:noProof/>
          <w:sz w:val="24"/>
          <w:lang w:val="en-US"/>
        </w:rPr>
      </w:pPr>
      <w:r>
        <w:rPr>
          <w:b/>
          <w:noProof/>
          <w:sz w:val="24"/>
          <w:lang w:val="en-US"/>
        </w:rPr>
        <w:t>Montreal</w:t>
      </w:r>
      <w:r w:rsidRPr="001767EF">
        <w:rPr>
          <w:b/>
          <w:noProof/>
          <w:sz w:val="24"/>
          <w:lang w:val="en-US"/>
        </w:rPr>
        <w:t xml:space="preserve">, </w:t>
      </w:r>
      <w:r>
        <w:rPr>
          <w:b/>
          <w:noProof/>
          <w:sz w:val="24"/>
          <w:lang w:val="en-US"/>
        </w:rPr>
        <w:t>Canada</w:t>
      </w:r>
      <w:r w:rsidRPr="001767EF">
        <w:rPr>
          <w:b/>
          <w:noProof/>
          <w:sz w:val="24"/>
          <w:lang w:val="en-US"/>
        </w:rPr>
        <w:t xml:space="preserve">, </w:t>
      </w:r>
      <w:r>
        <w:rPr>
          <w:b/>
          <w:noProof/>
          <w:sz w:val="24"/>
          <w:lang w:val="en-US"/>
        </w:rPr>
        <w:t>2</w:t>
      </w:r>
      <w:r>
        <w:rPr>
          <w:b/>
          <w:noProof/>
          <w:sz w:val="24"/>
          <w:vertAlign w:val="superscript"/>
          <w:lang w:val="en-US"/>
        </w:rPr>
        <w:t>nd</w:t>
      </w:r>
      <w:r w:rsidRPr="001767EF">
        <w:rPr>
          <w:b/>
          <w:noProof/>
          <w:sz w:val="24"/>
          <w:lang w:val="en-US"/>
        </w:rPr>
        <w:t xml:space="preserve"> </w:t>
      </w:r>
      <w:r>
        <w:rPr>
          <w:b/>
          <w:noProof/>
          <w:sz w:val="24"/>
          <w:lang w:val="en-US"/>
        </w:rPr>
        <w:t>July</w:t>
      </w:r>
      <w:r w:rsidRPr="001767EF">
        <w:rPr>
          <w:b/>
          <w:noProof/>
          <w:sz w:val="24"/>
          <w:lang w:val="en-US"/>
        </w:rPr>
        <w:t xml:space="preserve"> – </w:t>
      </w:r>
      <w:r>
        <w:rPr>
          <w:b/>
          <w:noProof/>
          <w:sz w:val="24"/>
          <w:lang w:val="en-US"/>
        </w:rPr>
        <w:t>6</w:t>
      </w:r>
      <w:r w:rsidRPr="001767EF">
        <w:rPr>
          <w:b/>
          <w:noProof/>
          <w:sz w:val="24"/>
          <w:vertAlign w:val="superscript"/>
          <w:lang w:val="en-US"/>
        </w:rPr>
        <w:t>th</w:t>
      </w:r>
      <w:r w:rsidRPr="001767EF">
        <w:rPr>
          <w:b/>
          <w:noProof/>
          <w:sz w:val="24"/>
          <w:lang w:val="en-US"/>
        </w:rPr>
        <w:t xml:space="preserve"> </w:t>
      </w:r>
      <w:r>
        <w:rPr>
          <w:b/>
          <w:noProof/>
          <w:sz w:val="24"/>
          <w:lang w:val="en-US"/>
        </w:rPr>
        <w:t>July</w:t>
      </w:r>
      <w:r w:rsidRPr="001767EF">
        <w:rPr>
          <w:b/>
          <w:noProof/>
          <w:sz w:val="24"/>
          <w:lang w:val="en-US"/>
        </w:rPr>
        <w:t xml:space="preserve"> 2018</w:t>
      </w:r>
    </w:p>
    <w:p w14:paraId="2E3C715F" w14:textId="77777777" w:rsidR="00E54BEE" w:rsidRDefault="00E54BEE" w:rsidP="00E54BEE">
      <w:pPr>
        <w:spacing w:after="120"/>
        <w:ind w:left="1985" w:hanging="1985"/>
        <w:rPr>
          <w:rFonts w:ascii="Arial" w:hAnsi="Arial" w:cs="Arial"/>
          <w:b/>
        </w:rPr>
      </w:pPr>
    </w:p>
    <w:p w14:paraId="5FD610D8" w14:textId="77777777" w:rsidR="00E54BEE" w:rsidRPr="00CD5405" w:rsidRDefault="00E54BEE" w:rsidP="00E54BEE">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32510550" w14:textId="4F78BC85" w:rsidR="00E54BEE" w:rsidRDefault="00E54BEE" w:rsidP="00E54BEE">
      <w:pPr>
        <w:spacing w:after="120"/>
        <w:ind w:left="1985" w:hanging="1985"/>
        <w:rPr>
          <w:rFonts w:ascii="Arial" w:hAnsi="Arial" w:cs="Arial"/>
          <w:bCs/>
          <w:color w:val="FF0000"/>
        </w:rPr>
      </w:pPr>
      <w:r>
        <w:rPr>
          <w:rFonts w:ascii="Arial" w:hAnsi="Arial" w:cs="Arial"/>
          <w:b/>
        </w:rPr>
        <w:t>Title:</w:t>
      </w:r>
      <w:r>
        <w:rPr>
          <w:rFonts w:ascii="Arial" w:hAnsi="Arial" w:cs="Arial"/>
          <w:b/>
        </w:rPr>
        <w:tab/>
      </w:r>
      <w:r>
        <w:rPr>
          <w:rFonts w:ascii="Arial" w:hAnsi="Arial" w:cs="Arial"/>
        </w:rPr>
        <w:t>Sparse grid concept</w:t>
      </w:r>
      <w:r w:rsidR="00E36453">
        <w:rPr>
          <w:rFonts w:ascii="Arial" w:hAnsi="Arial" w:cs="Arial"/>
        </w:rPr>
        <w:t xml:space="preserve"> for TRP measurements</w:t>
      </w:r>
    </w:p>
    <w:p w14:paraId="6945958B" w14:textId="11D91049" w:rsidR="00E54BEE" w:rsidRPr="00BA7D5A" w:rsidRDefault="00E54BEE" w:rsidP="00E54BEE">
      <w:pPr>
        <w:spacing w:after="120"/>
        <w:ind w:left="1985" w:hanging="1985"/>
        <w:rPr>
          <w:rFonts w:ascii="Arial" w:hAnsi="Arial" w:cs="Arial"/>
          <w:bCs/>
          <w:color w:val="FF0000"/>
          <w:lang w:val="en-US"/>
        </w:rPr>
      </w:pPr>
      <w:r w:rsidRPr="00BA7D5A">
        <w:rPr>
          <w:rFonts w:ascii="Arial" w:hAnsi="Arial" w:cs="Arial"/>
          <w:b/>
          <w:lang w:val="en-US"/>
        </w:rPr>
        <w:t>Agenda item:</w:t>
      </w:r>
      <w:r w:rsidRPr="00BA7D5A">
        <w:rPr>
          <w:rFonts w:ascii="Arial" w:hAnsi="Arial" w:cs="Arial"/>
          <w:b/>
          <w:lang w:val="en-US"/>
        </w:rPr>
        <w:tab/>
      </w:r>
      <w:r w:rsidR="001F0AB0" w:rsidRPr="001F0AB0">
        <w:rPr>
          <w:rFonts w:ascii="Arial" w:hAnsi="Arial" w:cs="Arial"/>
          <w:bCs/>
          <w:lang w:val="en-US"/>
        </w:rPr>
        <w:t>4.2.1.1.5.1</w:t>
      </w:r>
    </w:p>
    <w:p w14:paraId="2D86DA47" w14:textId="22D67F67" w:rsidR="00E54BEE" w:rsidRDefault="00E54BEE" w:rsidP="00E54BEE">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0E25E8">
        <w:rPr>
          <w:rFonts w:ascii="Arial" w:hAnsi="Arial" w:cs="Arial"/>
        </w:rPr>
        <w:t>Approval</w:t>
      </w:r>
    </w:p>
    <w:p w14:paraId="29709509" w14:textId="77777777" w:rsidR="00E54BEE" w:rsidRDefault="00E54BEE" w:rsidP="00E54BEE">
      <w:pPr>
        <w:pBdr>
          <w:bottom w:val="single" w:sz="4" w:space="1" w:color="auto"/>
        </w:pBdr>
        <w:rPr>
          <w:rFonts w:ascii="Arial" w:hAnsi="Arial" w:cs="Arial"/>
        </w:rPr>
      </w:pPr>
    </w:p>
    <w:p w14:paraId="5F12396F" w14:textId="77777777" w:rsidR="00E54BEE" w:rsidRDefault="00E54BEE" w:rsidP="00E54BEE">
      <w:pPr>
        <w:pStyle w:val="Heading1"/>
        <w:keepLines w:val="0"/>
        <w:numPr>
          <w:ilvl w:val="0"/>
          <w:numId w:val="1"/>
        </w:numPr>
        <w:pBdr>
          <w:top w:val="none" w:sz="0" w:space="0" w:color="auto"/>
        </w:pBdr>
        <w:spacing w:before="0" w:after="240"/>
        <w:ind w:right="284" w:hanging="720"/>
      </w:pPr>
      <w:r>
        <w:t>Introduction</w:t>
      </w:r>
    </w:p>
    <w:p w14:paraId="593235E2" w14:textId="4A6988AD" w:rsidR="00E54BEE" w:rsidRDefault="00E54BEE" w:rsidP="00E54BEE">
      <w:pPr>
        <w:pStyle w:val="BodyText"/>
      </w:pPr>
      <w:r>
        <w:t>At previous RAN4#87 meeting</w:t>
      </w:r>
      <w:bookmarkStart w:id="1" w:name="_Hlk516216770"/>
      <w:r>
        <w:t>s several TRP measurement grids have been proposed</w:t>
      </w:r>
      <w:r w:rsidR="00C87D97">
        <w:t xml:space="preserve"> [1]</w:t>
      </w:r>
      <w:r>
        <w:t xml:space="preserve">. </w:t>
      </w:r>
      <w:proofErr w:type="gramStart"/>
      <w:r>
        <w:t>In order to</w:t>
      </w:r>
      <w:proofErr w:type="gramEnd"/>
      <w:r>
        <w:t xml:space="preserve"> have control of the TRP accuracy the density of measurements points needs to be evaluated.</w:t>
      </w:r>
    </w:p>
    <w:p w14:paraId="764A01C7" w14:textId="77777777" w:rsidR="00E54BEE" w:rsidRDefault="00E54BEE" w:rsidP="00E54BEE">
      <w:pPr>
        <w:pStyle w:val="BodyText"/>
      </w:pPr>
      <w:r>
        <w:t>In this contribution we propose a measure, the Sparsity Factor, that quantifies the density of grid points relative to reference angular steps corresponding to practically error-free TRP estimation.</w:t>
      </w:r>
    </w:p>
    <w:bookmarkEnd w:id="1"/>
    <w:p w14:paraId="103337F7" w14:textId="77777777" w:rsidR="00E54BEE" w:rsidRDefault="00E54BEE" w:rsidP="00E54BEE">
      <w:pPr>
        <w:pBdr>
          <w:bottom w:val="single" w:sz="4" w:space="1" w:color="auto"/>
        </w:pBdr>
        <w:rPr>
          <w:rFonts w:ascii="Arial" w:hAnsi="Arial" w:cs="Arial"/>
        </w:rPr>
      </w:pPr>
    </w:p>
    <w:p w14:paraId="17F6BE33" w14:textId="77777777" w:rsidR="00E54BEE" w:rsidRDefault="00E54BEE" w:rsidP="00E54BEE">
      <w:pPr>
        <w:pStyle w:val="Heading1"/>
        <w:keepLines w:val="0"/>
        <w:numPr>
          <w:ilvl w:val="0"/>
          <w:numId w:val="1"/>
        </w:numPr>
        <w:pBdr>
          <w:top w:val="none" w:sz="0" w:space="0" w:color="auto"/>
        </w:pBdr>
        <w:spacing w:before="0" w:after="240"/>
        <w:ind w:right="284" w:hanging="720"/>
      </w:pPr>
      <w:r>
        <w:t>Discussion</w:t>
      </w:r>
    </w:p>
    <w:p w14:paraId="6FEB583B" w14:textId="77777777" w:rsidR="00E54BEE" w:rsidRDefault="00E54BEE" w:rsidP="00E54BEE">
      <w:r>
        <w:t xml:space="preserve">The </w:t>
      </w:r>
      <w:r w:rsidRPr="00716165">
        <w:t>reference angular steps</w:t>
      </w:r>
      <w:r>
        <w:t xml:space="preserve"> for each emission frequency are defined in subclause 10.9.2.1 as </w:t>
      </w:r>
    </w:p>
    <w:p w14:paraId="32A4C7FF" w14:textId="31721464" w:rsidR="00E54BEE" w:rsidRDefault="0052032D" w:rsidP="00E54BEE">
      <m:oMathPara>
        <m:oMath>
          <m:r>
            <m:rPr>
              <m:sty m:val="p"/>
            </m:rPr>
            <w:rPr>
              <w:rFonts w:ascii="Cambria Math" w:hAnsi="Cambria Math"/>
            </w:rPr>
            <m:t>Δ</m:t>
          </m:r>
          <m:sSub>
            <m:sSubPr>
              <m:ctrlPr>
                <w:rPr>
                  <w:rFonts w:ascii="Cambria Math" w:hAnsi="Cambria Math"/>
                  <w:i/>
                </w:rPr>
              </m:ctrlPr>
            </m:sSubPr>
            <m:e>
              <m:r>
                <w:rPr>
                  <w:rFonts w:ascii="Cambria Math" w:hAnsi="Cambria Math"/>
                </w:rPr>
                <m:t>ϕ</m:t>
              </m:r>
            </m:e>
            <m:sub>
              <m:r>
                <m:rPr>
                  <m:sty m:val="p"/>
                </m:rPr>
                <w:rPr>
                  <w:rFonts w:ascii="Cambria Math" w:hAnsi="Cambria Math"/>
                </w:rPr>
                <m:t>ref</m:t>
              </m:r>
            </m:sub>
          </m:sSub>
          <m:r>
            <w:rPr>
              <w:rFonts w:ascii="Cambria Math" w:hAnsi="Cambria Math"/>
            </w:rPr>
            <m:t>=λ/</m:t>
          </m:r>
          <m:sSub>
            <m:sSubPr>
              <m:ctrlPr>
                <w:rPr>
                  <w:rFonts w:ascii="Cambria Math" w:hAnsi="Cambria Math"/>
                  <w:i/>
                </w:rPr>
              </m:ctrlPr>
            </m:sSubPr>
            <m:e>
              <m:r>
                <w:rPr>
                  <w:rFonts w:ascii="Cambria Math" w:hAnsi="Cambria Math"/>
                </w:rPr>
                <m:t>D</m:t>
              </m:r>
            </m:e>
            <m:sub>
              <m:r>
                <m:rPr>
                  <m:sty m:val="p"/>
                </m:rPr>
                <w:rPr>
                  <w:rFonts w:ascii="Cambria Math" w:hAnsi="Cambria Math"/>
                </w:rPr>
                <m:t>cyl</m:t>
              </m:r>
            </m:sub>
          </m:sSub>
        </m:oMath>
      </m:oMathPara>
    </w:p>
    <w:p w14:paraId="3FD21113" w14:textId="0D04B866" w:rsidR="0052032D" w:rsidRDefault="0052032D" w:rsidP="0052032D">
      <m:oMathPara>
        <m:oMath>
          <m:r>
            <m:rPr>
              <m:sty m:val="p"/>
            </m:rPr>
            <w:rPr>
              <w:rFonts w:ascii="Cambria Math" w:hAnsi="Cambria Math"/>
            </w:rPr>
            <m:t>Δ</m:t>
          </m:r>
          <m:sSub>
            <m:sSubPr>
              <m:ctrlPr>
                <w:rPr>
                  <w:rFonts w:ascii="Cambria Math" w:hAnsi="Cambria Math"/>
                  <w:i/>
                </w:rPr>
              </m:ctrlPr>
            </m:sSubPr>
            <m:e>
              <m:r>
                <w:rPr>
                  <w:rFonts w:ascii="Cambria Math" w:hAnsi="Cambria Math"/>
                </w:rPr>
                <m:t>θ</m:t>
              </m:r>
            </m:e>
            <m:sub>
              <m:r>
                <m:rPr>
                  <m:sty m:val="p"/>
                </m:rPr>
                <w:rPr>
                  <w:rFonts w:ascii="Cambria Math" w:hAnsi="Cambria Math"/>
                </w:rPr>
                <m:t>ref</m:t>
              </m:r>
            </m:sub>
          </m:sSub>
          <m:r>
            <w:rPr>
              <w:rFonts w:ascii="Cambria Math" w:hAnsi="Cambria Math"/>
            </w:rPr>
            <m:t>=λ/D</m:t>
          </m:r>
        </m:oMath>
      </m:oMathPara>
    </w:p>
    <w:p w14:paraId="76993F26" w14:textId="0E70D03B" w:rsidR="00E54BEE" w:rsidRDefault="00B47927" w:rsidP="00A37FCB">
      <w:r>
        <w:t xml:space="preserve">For </w:t>
      </w:r>
      <w:r w:rsidR="00AB0D06">
        <w:t xml:space="preserve">accurate </w:t>
      </w:r>
      <w:r>
        <w:t>assessment of TRP</w:t>
      </w:r>
      <w:r w:rsidR="00AB0D06">
        <w:t xml:space="preserve">, </w:t>
      </w:r>
      <w:r w:rsidR="007C28F3">
        <w:t xml:space="preserve">power flux density samples need to be measured on </w:t>
      </w:r>
      <w:r w:rsidR="00AB0D06">
        <w:t>a spherical sampling grid with the</w:t>
      </w:r>
      <w:r w:rsidR="007C28F3">
        <w:t>se</w:t>
      </w:r>
      <w:r w:rsidR="00AB0D06">
        <w:t xml:space="preserve"> reference </w:t>
      </w:r>
      <w:r w:rsidR="007C28F3">
        <w:t>steps.</w:t>
      </w:r>
      <w:r w:rsidR="006D057B">
        <w:t xml:space="preserve"> </w:t>
      </w:r>
      <w:r w:rsidR="00884611">
        <w:t>However,</w:t>
      </w:r>
      <w:r w:rsidR="006D057B">
        <w:t xml:space="preserve"> </w:t>
      </w:r>
      <w:r w:rsidR="002A5E5E">
        <w:t xml:space="preserve">for large EUT at high frequencies </w:t>
      </w:r>
      <w:r w:rsidR="006D057B">
        <w:t xml:space="preserve">these </w:t>
      </w:r>
      <w:r w:rsidR="002A5E5E">
        <w:t xml:space="preserve">reference steps can be </w:t>
      </w:r>
      <w:r w:rsidR="003C760A">
        <w:t xml:space="preserve">impractically small. </w:t>
      </w:r>
      <w:r w:rsidR="009045AA">
        <w:t xml:space="preserve">This can be both due to extremely long measurement time or </w:t>
      </w:r>
      <w:r w:rsidR="00A37FCB">
        <w:t xml:space="preserve">the precision of the turn-table used in the measurement. In such cases a sparser grid, i.e. with angular steps larger than the reference steps is used. </w:t>
      </w:r>
      <w:r w:rsidR="003C760A">
        <w:t xml:space="preserve">When the </w:t>
      </w:r>
      <w:r w:rsidR="00884611">
        <w:t xml:space="preserve">measurement is performed </w:t>
      </w:r>
      <w:r w:rsidR="00605027">
        <w:t xml:space="preserve">on a sparse grid, </w:t>
      </w:r>
      <w:r w:rsidR="008E5CA1">
        <w:t xml:space="preserve">an error will be included in the assessed TRP value. </w:t>
      </w:r>
      <w:proofErr w:type="gramStart"/>
      <w:r w:rsidR="008E5CA1">
        <w:t>In order to</w:t>
      </w:r>
      <w:proofErr w:type="gramEnd"/>
      <w:r w:rsidR="008E5CA1">
        <w:t xml:space="preserve"> </w:t>
      </w:r>
      <w:r w:rsidR="0058445F">
        <w:t xml:space="preserve">characterize and </w:t>
      </w:r>
      <w:r w:rsidR="00605027">
        <w:t xml:space="preserve">quantify this error, </w:t>
      </w:r>
      <w:r w:rsidR="0058445F">
        <w:t>the sparsity of the grid has to be quantified.</w:t>
      </w:r>
      <w:r w:rsidR="00040844">
        <w:t xml:space="preserve"> </w:t>
      </w:r>
      <w:r w:rsidR="00B569AE">
        <w:t>For this purpose, t</w:t>
      </w:r>
      <w:r w:rsidR="00040844">
        <w:t xml:space="preserve">he sparsity factor is defined as </w:t>
      </w:r>
    </w:p>
    <w:p w14:paraId="65BDB3F8" w14:textId="53144E4D" w:rsidR="00040844" w:rsidRPr="004E0A8B" w:rsidRDefault="00720C14" w:rsidP="004E0A8B">
      <w:pPr>
        <w:rPr>
          <w:i/>
          <w:lang w:val="en-US"/>
        </w:rPr>
      </w:pPr>
      <m:oMathPara>
        <m:oMath>
          <m:r>
            <w:rPr>
              <w:rFonts w:ascii="Cambria Math" w:hAnsi="Cambria Math"/>
            </w:rPr>
            <m:t>SF</m:t>
          </m:r>
          <m:r>
            <w:rPr>
              <w:rFonts w:ascii="Cambria Math" w:hAnsi="Cambria Math"/>
              <w:lang w:val="en-US"/>
            </w:rPr>
            <m:t>=</m:t>
          </m:r>
          <m:func>
            <m:funcPr>
              <m:ctrlPr>
                <w:rPr>
                  <w:rFonts w:ascii="Cambria Math" w:hAnsi="Cambria Math"/>
                  <w:i/>
                  <w:lang w:val="en-US"/>
                </w:rPr>
              </m:ctrlPr>
            </m:funcPr>
            <m:fName>
              <m:r>
                <m:rPr>
                  <m:sty m:val="p"/>
                </m:rPr>
                <w:rPr>
                  <w:rFonts w:ascii="Cambria Math" w:hAnsi="Cambria Math"/>
                  <w:lang w:val="en-US"/>
                </w:rPr>
                <m:t>max</m:t>
              </m:r>
            </m:fName>
            <m:e>
              <m:d>
                <m:dPr>
                  <m:ctrlPr>
                    <w:rPr>
                      <w:rFonts w:ascii="Cambria Math" w:hAnsi="Cambria Math"/>
                      <w:i/>
                      <w:lang w:val="en-US"/>
                    </w:rPr>
                  </m:ctrlPr>
                </m:dPr>
                <m:e>
                  <m:f>
                    <m:fPr>
                      <m:ctrlPr>
                        <w:rPr>
                          <w:rFonts w:ascii="Cambria Math" w:hAnsi="Cambria Math"/>
                          <w:i/>
                          <w:lang w:val="en-US"/>
                        </w:rPr>
                      </m:ctrlPr>
                    </m:fPr>
                    <m:num>
                      <m:r>
                        <m:rPr>
                          <m:sty m:val="p"/>
                        </m:rPr>
                        <w:rPr>
                          <w:rFonts w:ascii="Cambria Math" w:hAnsi="Cambria Math"/>
                          <w:lang w:val="en-US"/>
                        </w:rPr>
                        <m:t>Δ</m:t>
                      </m:r>
                      <m:r>
                        <w:rPr>
                          <w:rFonts w:ascii="Cambria Math" w:hAnsi="Cambria Math"/>
                          <w:lang w:val="en-US"/>
                        </w:rPr>
                        <m:t>ϕ</m:t>
                      </m:r>
                    </m:num>
                    <m:den>
                      <m:r>
                        <m:rPr>
                          <m:sty m:val="p"/>
                        </m:rPr>
                        <w:rPr>
                          <w:rFonts w:ascii="Cambria Math" w:hAnsi="Cambria Math"/>
                        </w:rPr>
                        <m:t>Δ</m:t>
                      </m:r>
                      <m:sSub>
                        <m:sSubPr>
                          <m:ctrlPr>
                            <w:rPr>
                              <w:rFonts w:ascii="Cambria Math" w:hAnsi="Cambria Math"/>
                              <w:i/>
                            </w:rPr>
                          </m:ctrlPr>
                        </m:sSubPr>
                        <m:e>
                          <m:r>
                            <w:rPr>
                              <w:rFonts w:ascii="Cambria Math" w:hAnsi="Cambria Math"/>
                            </w:rPr>
                            <m:t>ϕ</m:t>
                          </m:r>
                        </m:e>
                        <m:sub>
                          <m:r>
                            <m:rPr>
                              <m:sty m:val="p"/>
                            </m:rPr>
                            <w:rPr>
                              <w:rFonts w:ascii="Cambria Math" w:hAnsi="Cambria Math"/>
                            </w:rPr>
                            <m:t>ref</m:t>
                          </m:r>
                        </m:sub>
                      </m:sSub>
                    </m:den>
                  </m:f>
                  <m:r>
                    <w:rPr>
                      <w:rFonts w:ascii="Cambria Math" w:hAnsi="Cambria Math"/>
                      <w:lang w:val="en-US"/>
                    </w:rPr>
                    <m:t>,</m:t>
                  </m:r>
                  <m:f>
                    <m:fPr>
                      <m:ctrlPr>
                        <w:rPr>
                          <w:rFonts w:ascii="Cambria Math" w:hAnsi="Cambria Math"/>
                          <w:i/>
                          <w:lang w:val="en-US"/>
                        </w:rPr>
                      </m:ctrlPr>
                    </m:fPr>
                    <m:num>
                      <m:r>
                        <m:rPr>
                          <m:sty m:val="p"/>
                        </m:rPr>
                        <w:rPr>
                          <w:rFonts w:ascii="Cambria Math" w:hAnsi="Cambria Math"/>
                          <w:lang w:val="en-US"/>
                        </w:rPr>
                        <m:t>Δ</m:t>
                      </m:r>
                      <m:r>
                        <w:rPr>
                          <w:rFonts w:ascii="Cambria Math" w:hAnsi="Cambria Math"/>
                          <w:lang w:val="en-US"/>
                        </w:rPr>
                        <m:t>θ</m:t>
                      </m:r>
                    </m:num>
                    <m:den>
                      <m:r>
                        <m:rPr>
                          <m:sty m:val="p"/>
                        </m:rPr>
                        <w:rPr>
                          <w:rFonts w:ascii="Cambria Math" w:hAnsi="Cambria Math"/>
                        </w:rPr>
                        <m:t>Δ</m:t>
                      </m:r>
                      <m:sSub>
                        <m:sSubPr>
                          <m:ctrlPr>
                            <w:rPr>
                              <w:rFonts w:ascii="Cambria Math" w:hAnsi="Cambria Math"/>
                              <w:i/>
                            </w:rPr>
                          </m:ctrlPr>
                        </m:sSubPr>
                        <m:e>
                          <m:r>
                            <w:rPr>
                              <w:rFonts w:ascii="Cambria Math" w:hAnsi="Cambria Math"/>
                            </w:rPr>
                            <m:t>θ</m:t>
                          </m:r>
                        </m:e>
                        <m:sub>
                          <m:r>
                            <m:rPr>
                              <m:sty m:val="p"/>
                            </m:rPr>
                            <w:rPr>
                              <w:rFonts w:ascii="Cambria Math" w:hAnsi="Cambria Math"/>
                            </w:rPr>
                            <m:t>ref</m:t>
                          </m:r>
                        </m:sub>
                      </m:sSub>
                    </m:den>
                  </m:f>
                </m:e>
              </m:d>
            </m:e>
          </m:func>
        </m:oMath>
      </m:oMathPara>
    </w:p>
    <w:p w14:paraId="23D071EE" w14:textId="35FC8762" w:rsidR="00B54D91" w:rsidRDefault="00AA4F02" w:rsidP="00EB6B72">
      <w:r>
        <w:rPr>
          <w:rFonts w:eastAsia="MS Mincho"/>
          <w:lang w:eastAsia="ja-JP"/>
        </w:rPr>
        <w:t xml:space="preserve">Where </w:t>
      </w:r>
      <m:oMath>
        <m:r>
          <m:rPr>
            <m:sty m:val="p"/>
          </m:rPr>
          <w:rPr>
            <w:rFonts w:ascii="Cambria Math" w:hAnsi="Cambria Math"/>
            <w:lang w:val="en-US"/>
          </w:rPr>
          <m:t>Δ</m:t>
        </m:r>
        <m:r>
          <w:rPr>
            <w:rFonts w:ascii="Cambria Math" w:hAnsi="Cambria Math"/>
            <w:lang w:val="en-US"/>
          </w:rPr>
          <m:t>ϕ</m:t>
        </m:r>
      </m:oMath>
      <w:r>
        <w:rPr>
          <w:rFonts w:eastAsia="MS Mincho"/>
          <w:lang w:val="en-US"/>
        </w:rPr>
        <w:t xml:space="preserve"> and </w:t>
      </w:r>
      <m:oMath>
        <m:r>
          <m:rPr>
            <m:sty m:val="p"/>
          </m:rPr>
          <w:rPr>
            <w:rFonts w:ascii="Cambria Math" w:hAnsi="Cambria Math"/>
            <w:lang w:val="en-US"/>
          </w:rPr>
          <m:t>Δ</m:t>
        </m:r>
        <m:r>
          <w:rPr>
            <w:rFonts w:ascii="Cambria Math" w:hAnsi="Cambria Math"/>
            <w:lang w:val="en-US"/>
          </w:rPr>
          <m:t>θ</m:t>
        </m:r>
      </m:oMath>
      <w:r>
        <w:rPr>
          <w:rFonts w:eastAsia="MS Mincho"/>
          <w:lang w:val="en-US"/>
        </w:rPr>
        <w:t xml:space="preserve"> are the actual angular steps used in the measurement. </w:t>
      </w:r>
      <w:r w:rsidR="00B54D91">
        <w:t>Fig.</w:t>
      </w:r>
      <w:r w:rsidR="000522CC">
        <w:t xml:space="preserve"> 1 shows the TRP error vs. SF for </w:t>
      </w:r>
      <w:r w:rsidR="000302AE">
        <w:t>different sizes of EUT</w:t>
      </w:r>
      <w:r w:rsidR="006E6938">
        <w:t xml:space="preserve">. </w:t>
      </w:r>
      <w:r w:rsidR="0007672F">
        <w:t xml:space="preserve">The spurious emission TRP assessment errors caused by using </w:t>
      </w:r>
      <w:r w:rsidR="00FF5453">
        <w:t xml:space="preserve">sparse grids can be compensated by a systematic correction factor </w:t>
      </w:r>
      <m:oMath>
        <m:r>
          <m:rPr>
            <m:sty m:val="p"/>
          </m:rPr>
          <w:rPr>
            <w:rFonts w:ascii="Cambria Math" w:hAnsi="Cambria Math"/>
          </w:rPr>
          <m:t>ΔTRP</m:t>
        </m:r>
      </m:oMath>
      <w:r w:rsidR="00FF5453">
        <w:rPr>
          <w:iCs/>
        </w:rPr>
        <w:t xml:space="preserve"> described in </w:t>
      </w:r>
      <w:r w:rsidR="00F84CBB">
        <w:rPr>
          <w:iCs/>
        </w:rPr>
        <w:t>detail</w:t>
      </w:r>
      <w:r w:rsidR="00FF5453">
        <w:rPr>
          <w:iCs/>
        </w:rPr>
        <w:t xml:space="preserve"> in</w:t>
      </w:r>
      <w:r w:rsidR="000E25E8">
        <w:rPr>
          <w:iCs/>
        </w:rPr>
        <w:t xml:space="preserve"> [2]</w:t>
      </w:r>
      <w:r w:rsidR="004D6992">
        <w:rPr>
          <w:iCs/>
        </w:rPr>
        <w:t>.</w:t>
      </w:r>
    </w:p>
    <w:p w14:paraId="77A48711" w14:textId="21A8FB47" w:rsidR="00EB6B72" w:rsidRDefault="00A2287F" w:rsidP="00180D86">
      <w:r>
        <w:t>The above reference steps are use</w:t>
      </w:r>
      <w:r w:rsidR="00180D86">
        <w:t>d</w:t>
      </w:r>
      <w:r>
        <w:t xml:space="preserve"> for </w:t>
      </w:r>
      <w:r w:rsidRPr="00716165">
        <w:t>equal angle grids.</w:t>
      </w:r>
      <w:r w:rsidR="00180D86" w:rsidRPr="00716165">
        <w:t xml:space="preserve"> </w:t>
      </w:r>
      <w:r w:rsidR="00EB6B72" w:rsidRPr="00716165">
        <w:t xml:space="preserve">For </w:t>
      </w:r>
      <w:r w:rsidR="00230CDE" w:rsidRPr="00716165">
        <w:t xml:space="preserve">equal </w:t>
      </w:r>
      <w:r w:rsidR="00236825" w:rsidRPr="00716165">
        <w:t>area grids</w:t>
      </w:r>
      <w:r w:rsidR="00236825">
        <w:t xml:space="preserve">, </w:t>
      </w:r>
      <w:r w:rsidR="00D536CC">
        <w:t xml:space="preserve">the reference solid angle </w:t>
      </w:r>
      <m:oMath>
        <m:r>
          <m:rPr>
            <m:sty m:val="p"/>
          </m:rPr>
          <w:rPr>
            <w:rFonts w:ascii="Cambria Math" w:hAnsi="Cambria Math"/>
          </w:rPr>
          <m:t>Δ</m:t>
        </m:r>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ref</m:t>
            </m:r>
          </m:sub>
        </m:sSub>
      </m:oMath>
      <w:r w:rsidR="00CC129B">
        <w:t xml:space="preserve"> </w:t>
      </w:r>
      <w:r w:rsidR="00D536CC">
        <w:t xml:space="preserve">can be </w:t>
      </w:r>
      <w:r w:rsidR="00180D86">
        <w:t>defined instead of the reference angular step.</w:t>
      </w:r>
    </w:p>
    <w:p w14:paraId="1977FBA2" w14:textId="1B81DD14" w:rsidR="00A95F55" w:rsidRPr="00646DF0" w:rsidRDefault="00A95F55" w:rsidP="00180D86">
      <m:oMathPara>
        <m:oMath>
          <m:r>
            <m:rPr>
              <m:sty m:val="p"/>
            </m:rPr>
            <w:rPr>
              <w:rFonts w:ascii="Cambria Math" w:hAnsi="Cambria Math"/>
            </w:rPr>
            <m:t>Δ</m:t>
          </m:r>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ref</m:t>
              </m:r>
            </m:sub>
          </m:sSub>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λ</m:t>
                      </m:r>
                    </m:num>
                    <m:den>
                      <m:r>
                        <w:rPr>
                          <w:rFonts w:ascii="Cambria Math" w:hAnsi="Cambria Math"/>
                        </w:rPr>
                        <m:t>D</m:t>
                      </m:r>
                    </m:den>
                  </m:f>
                </m:e>
              </m:d>
            </m:e>
            <m:sup>
              <m:r>
                <w:rPr>
                  <w:rFonts w:ascii="Cambria Math" w:hAnsi="Cambria Math"/>
                </w:rPr>
                <m:t>2</m:t>
              </m:r>
            </m:sup>
          </m:sSup>
        </m:oMath>
      </m:oMathPara>
    </w:p>
    <w:p w14:paraId="208435D1" w14:textId="606614FC" w:rsidR="00646DF0" w:rsidRDefault="00CC129B" w:rsidP="00180D86">
      <w:r>
        <w:t>W</w:t>
      </w:r>
      <w:r w:rsidR="00646DF0">
        <w:t>here</w:t>
      </w:r>
      <w:r>
        <w:t xml:space="preserve"> no distinction is assumed between the </w:t>
      </w:r>
      <w:r w:rsidR="00973FC6">
        <w:t xml:space="preserve">density of points in </w:t>
      </w:r>
      <m:oMath>
        <m:r>
          <w:rPr>
            <w:rFonts w:ascii="Cambria Math" w:hAnsi="Cambria Math"/>
          </w:rPr>
          <m:t>θ</m:t>
        </m:r>
      </m:oMath>
      <w:r w:rsidR="00973FC6">
        <w:t xml:space="preserve"> and </w:t>
      </w:r>
      <m:oMath>
        <m:r>
          <w:rPr>
            <w:rFonts w:ascii="Cambria Math" w:hAnsi="Cambria Math"/>
          </w:rPr>
          <m:t>ϕ</m:t>
        </m:r>
      </m:oMath>
      <w:r w:rsidR="00973FC6">
        <w:t xml:space="preserve"> directions.</w:t>
      </w:r>
      <w:r w:rsidR="00755F64">
        <w:t xml:space="preserve"> This will result in </w:t>
      </w:r>
      <w:r w:rsidR="00E06EB6">
        <w:t xml:space="preserve">the reference number of samples </w:t>
      </w:r>
      <m:oMath>
        <m:sSub>
          <m:sSubPr>
            <m:ctrlPr>
              <w:rPr>
                <w:rFonts w:ascii="Cambria Math" w:hAnsi="Cambria Math"/>
                <w:i/>
              </w:rPr>
            </m:ctrlPr>
          </m:sSubPr>
          <m:e>
            <m:r>
              <w:rPr>
                <w:rFonts w:ascii="Cambria Math" w:hAnsi="Cambria Math"/>
              </w:rPr>
              <m:t>N</m:t>
            </m:r>
            <m:ctrlPr>
              <w:rPr>
                <w:rFonts w:ascii="Cambria Math" w:hAnsi="Cambria Math"/>
              </w:rPr>
            </m:ctrlPr>
          </m:e>
          <m:sub>
            <m:r>
              <m:rPr>
                <m:sty m:val="p"/>
              </m:rPr>
              <w:rPr>
                <w:rFonts w:ascii="Cambria Math" w:hAnsi="Cambria Math"/>
              </w:rPr>
              <m:t>ref</m:t>
            </m:r>
          </m:sub>
        </m:sSub>
      </m:oMath>
      <w:r w:rsidR="00E06EB6">
        <w:t xml:space="preserve"> as</w:t>
      </w:r>
    </w:p>
    <w:p w14:paraId="512C6F22" w14:textId="613C3739" w:rsidR="00E06EB6" w:rsidRDefault="00402053" w:rsidP="00180D86">
      <m:oMathPara>
        <m:oMath>
          <m:sSub>
            <m:sSubPr>
              <m:ctrlPr>
                <w:rPr>
                  <w:rFonts w:ascii="Cambria Math" w:hAnsi="Cambria Math"/>
                  <w:i/>
                </w:rPr>
              </m:ctrlPr>
            </m:sSubPr>
            <m:e>
              <m:r>
                <w:rPr>
                  <w:rFonts w:ascii="Cambria Math" w:hAnsi="Cambria Math"/>
                </w:rPr>
                <m:t>N</m:t>
              </m:r>
            </m:e>
            <m:sub>
              <m:r>
                <m:rPr>
                  <m:sty m:val="p"/>
                </m:rPr>
                <w:rPr>
                  <w:rFonts w:ascii="Cambria Math" w:hAnsi="Cambria Math"/>
                </w:rPr>
                <m:t>ref</m:t>
              </m:r>
            </m:sub>
          </m:sSub>
          <m:r>
            <w:rPr>
              <w:rFonts w:ascii="Cambria Math" w:hAnsi="Cambria Math"/>
            </w:rPr>
            <m:t>=</m:t>
          </m:r>
          <m:f>
            <m:fPr>
              <m:ctrlPr>
                <w:rPr>
                  <w:rFonts w:ascii="Cambria Math" w:hAnsi="Cambria Math"/>
                  <w:i/>
                </w:rPr>
              </m:ctrlPr>
            </m:fPr>
            <m:num>
              <m:r>
                <w:rPr>
                  <w:rFonts w:ascii="Cambria Math" w:hAnsi="Cambria Math"/>
                </w:rPr>
                <m:t>4π</m:t>
              </m:r>
            </m:num>
            <m:den>
              <m:sSub>
                <m:sSubPr>
                  <m:ctrlPr>
                    <w:rPr>
                      <w:rFonts w:ascii="Cambria Math" w:hAnsi="Cambria Math"/>
                      <w:i/>
                    </w:rPr>
                  </m:ctrlPr>
                </m:sSubPr>
                <m:e>
                  <m:r>
                    <m:rPr>
                      <m:sty m:val="p"/>
                    </m:rPr>
                    <w:rPr>
                      <w:rFonts w:ascii="Cambria Math" w:hAnsi="Cambria Math"/>
                    </w:rPr>
                    <m:t>ΔΩ</m:t>
                  </m:r>
                </m:e>
                <m:sub>
                  <m:r>
                    <m:rPr>
                      <m:sty m:val="p"/>
                    </m:rPr>
                    <w:rPr>
                      <w:rFonts w:ascii="Cambria Math" w:hAnsi="Cambria Math"/>
                    </w:rPr>
                    <m:t>ref</m:t>
                  </m:r>
                </m:sub>
              </m:sSub>
            </m:den>
          </m:f>
        </m:oMath>
      </m:oMathPara>
    </w:p>
    <w:p w14:paraId="0A5DB71C" w14:textId="4870698B" w:rsidR="00B569AE" w:rsidRDefault="001B0A86" w:rsidP="003515B7">
      <w:r>
        <w:t xml:space="preserve">And </w:t>
      </w:r>
      <w:r w:rsidR="003515B7">
        <w:t xml:space="preserve">assuming </w:t>
      </w:r>
      <w:r w:rsidR="003515B7" w:rsidRPr="003515B7">
        <w:rPr>
          <w:i/>
          <w:iCs/>
        </w:rPr>
        <w:t>N</w:t>
      </w:r>
      <w:r w:rsidR="003515B7">
        <w:rPr>
          <w:i/>
          <w:iCs/>
        </w:rPr>
        <w:t xml:space="preserve"> </w:t>
      </w:r>
      <w:r w:rsidR="003515B7" w:rsidRPr="003515B7">
        <w:t>samples</w:t>
      </w:r>
      <w:r w:rsidR="003515B7">
        <w:t xml:space="preserve"> are measured, the sparsity factor in this case can be defined as</w:t>
      </w:r>
    </w:p>
    <w:p w14:paraId="1B8DDDC1" w14:textId="397324D0" w:rsidR="003515B7" w:rsidRDefault="003515B7" w:rsidP="003515B7">
      <m:oMathPara>
        <m:oMath>
          <m:r>
            <m:rPr>
              <m:sty m:val="p"/>
            </m:rPr>
            <w:rPr>
              <w:rFonts w:ascii="Cambria Math" w:hAnsi="Cambria Math"/>
            </w:rPr>
            <m:t>SF</m:t>
          </m:r>
          <m:r>
            <w:rPr>
              <w:rFonts w:ascii="Cambria Math" w:hAnsi="Cambria Math"/>
            </w:rPr>
            <m: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ref</m:t>
                      </m:r>
                    </m:sub>
                  </m:sSub>
                </m:num>
                <m:den>
                  <m:r>
                    <w:rPr>
                      <w:rFonts w:ascii="Cambria Math" w:hAnsi="Cambria Math"/>
                    </w:rPr>
                    <m:t>N</m:t>
                  </m:r>
                </m:den>
              </m:f>
            </m:e>
          </m:rad>
        </m:oMath>
      </m:oMathPara>
    </w:p>
    <w:p w14:paraId="02658B38" w14:textId="33E4F533" w:rsidR="00732763" w:rsidRDefault="00973644" w:rsidP="00150AD7">
      <w:r>
        <w:lastRenderedPageBreak/>
        <w:t xml:space="preserve">The </w:t>
      </w:r>
      <w:r w:rsidR="004D6992">
        <w:t xml:space="preserve">effect of </w:t>
      </w:r>
      <w:r w:rsidR="00150AD7">
        <w:t>sparse equal area grids on the accuracy of TRP assessment is FFS.</w:t>
      </w:r>
    </w:p>
    <w:p w14:paraId="23BDCF44" w14:textId="58AAFED0" w:rsidR="00732763" w:rsidRDefault="00732763" w:rsidP="00040844">
      <w:pPr>
        <w:jc w:val="center"/>
      </w:pPr>
      <w:r>
        <w:rPr>
          <w:noProof/>
        </w:rPr>
        <w:drawing>
          <wp:inline distT="0" distB="0" distL="0" distR="0" wp14:anchorId="0998B0E2" wp14:editId="02823800">
            <wp:extent cx="5032148" cy="3292479"/>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36317" cy="3295207"/>
                    </a:xfrm>
                    <a:prstGeom prst="rect">
                      <a:avLst/>
                    </a:prstGeom>
                  </pic:spPr>
                </pic:pic>
              </a:graphicData>
            </a:graphic>
          </wp:inline>
        </w:drawing>
      </w:r>
    </w:p>
    <w:p w14:paraId="32FE4EDA" w14:textId="02B45507" w:rsidR="00732763" w:rsidRDefault="00732763" w:rsidP="0068202B">
      <w:pPr>
        <w:ind w:left="1080" w:hanging="900"/>
      </w:pPr>
      <w:r>
        <w:t xml:space="preserve">Figure 1 </w:t>
      </w:r>
      <w:r w:rsidR="005A4F68">
        <w:t>–</w:t>
      </w:r>
      <w:r>
        <w:t xml:space="preserve"> </w:t>
      </w:r>
      <w:r w:rsidR="005A4F68">
        <w:t xml:space="preserve">Convergence of TRP </w:t>
      </w:r>
      <w:r w:rsidR="004A0AA1">
        <w:t>vs. SF, evaluated for different electrical size</w:t>
      </w:r>
      <w:r w:rsidR="00BD3268">
        <w:t xml:space="preserve">s of the EUT. Uniformly excited </w:t>
      </w:r>
      <w:r w:rsidR="00B54D91">
        <w:t>uniform rectangular arrays are used for the present results.</w:t>
      </w:r>
    </w:p>
    <w:p w14:paraId="3582E86A" w14:textId="5BA7C39A" w:rsidR="00E54BEE" w:rsidRPr="001565BD" w:rsidRDefault="00E54BEE" w:rsidP="00E54BEE"/>
    <w:p w14:paraId="7A1AF1C3" w14:textId="5199668E" w:rsidR="00E54BEE" w:rsidRDefault="00E54BEE" w:rsidP="00E54BEE">
      <w:pPr>
        <w:pStyle w:val="Heading1"/>
        <w:keepLines w:val="0"/>
        <w:numPr>
          <w:ilvl w:val="0"/>
          <w:numId w:val="1"/>
        </w:numPr>
        <w:pBdr>
          <w:top w:val="none" w:sz="0" w:space="0" w:color="auto"/>
        </w:pBdr>
        <w:spacing w:before="0" w:after="240"/>
        <w:ind w:right="284" w:hanging="720"/>
      </w:pPr>
      <w:r>
        <w:t>Conclusion</w:t>
      </w:r>
      <w:r w:rsidR="00B61757">
        <w:t xml:space="preserve"> and Proposals</w:t>
      </w:r>
    </w:p>
    <w:p w14:paraId="7273226A" w14:textId="77777777" w:rsidR="00B61757" w:rsidRDefault="00F379A0" w:rsidP="00F379A0">
      <w:pPr>
        <w:pBdr>
          <w:bottom w:val="single" w:sz="4" w:space="1" w:color="auto"/>
        </w:pBdr>
        <w:ind w:left="284"/>
        <w:rPr>
          <w:bCs/>
          <w:lang w:val="en-US"/>
        </w:rPr>
      </w:pPr>
      <w:r>
        <w:rPr>
          <w:bCs/>
          <w:lang w:val="en-US"/>
        </w:rPr>
        <w:t xml:space="preserve">Sparsity of the grid needs to be quantified by using </w:t>
      </w:r>
      <w:r w:rsidR="001D43F7">
        <w:rPr>
          <w:bCs/>
          <w:lang w:val="en-US"/>
        </w:rPr>
        <w:t xml:space="preserve">the Sparsity Factor (SF). This can be used to characterize the errors caused in TRP assessment due to the use of sparse grids. </w:t>
      </w:r>
      <w:r w:rsidR="002B3B50">
        <w:rPr>
          <w:bCs/>
          <w:lang w:val="en-US"/>
        </w:rPr>
        <w:t>For equal area grids this is FFS.</w:t>
      </w:r>
    </w:p>
    <w:p w14:paraId="76B9BC13" w14:textId="5E59583B" w:rsidR="00E54BEE" w:rsidRPr="002F370F" w:rsidRDefault="00B61757" w:rsidP="00F379A0">
      <w:pPr>
        <w:pBdr>
          <w:bottom w:val="single" w:sz="4" w:space="1" w:color="auto"/>
        </w:pBdr>
        <w:ind w:left="284"/>
        <w:rPr>
          <w:b/>
          <w:lang w:val="en-US"/>
        </w:rPr>
      </w:pPr>
      <w:r>
        <w:rPr>
          <w:b/>
          <w:lang w:val="en-US"/>
        </w:rPr>
        <w:t xml:space="preserve">Proposal 1: </w:t>
      </w:r>
      <w:r w:rsidR="00F47BD9">
        <w:rPr>
          <w:b/>
          <w:lang w:val="en-US"/>
        </w:rPr>
        <w:t xml:space="preserve">Include the Sparsity Factor (SF) in the clause </w:t>
      </w:r>
      <w:r w:rsidR="00F47BD9" w:rsidRPr="00F47BD9">
        <w:rPr>
          <w:b/>
          <w:lang w:val="en-US"/>
        </w:rPr>
        <w:t>10.9.2</w:t>
      </w:r>
      <w:r w:rsidR="00F47BD9">
        <w:rPr>
          <w:b/>
          <w:lang w:val="en-US"/>
        </w:rPr>
        <w:t xml:space="preserve"> </w:t>
      </w:r>
      <w:r w:rsidR="00F47BD9" w:rsidRPr="00F47BD9">
        <w:rPr>
          <w:b/>
          <w:lang w:val="en-US"/>
        </w:rPr>
        <w:t>Spherical equal angle grids</w:t>
      </w:r>
      <w:r w:rsidR="00F47BD9">
        <w:rPr>
          <w:b/>
          <w:lang w:val="en-US"/>
        </w:rPr>
        <w:t xml:space="preserve"> for the TR 37.843. This proposal is included in the draft CR </w:t>
      </w:r>
      <w:r w:rsidR="008377AD">
        <w:rPr>
          <w:b/>
          <w:lang w:val="en-US"/>
        </w:rPr>
        <w:t>in R4-1809094</w:t>
      </w:r>
      <w:r w:rsidR="00E54BEE" w:rsidRPr="002F370F">
        <w:rPr>
          <w:b/>
          <w:lang w:val="en-US"/>
        </w:rPr>
        <w:br/>
      </w:r>
    </w:p>
    <w:p w14:paraId="4E711705" w14:textId="77777777" w:rsidR="00E54BEE" w:rsidRDefault="00E54BEE" w:rsidP="00E54BEE">
      <w:pPr>
        <w:pStyle w:val="Heading1"/>
        <w:keepLines w:val="0"/>
        <w:numPr>
          <w:ilvl w:val="0"/>
          <w:numId w:val="1"/>
        </w:numPr>
        <w:pBdr>
          <w:top w:val="none" w:sz="0" w:space="0" w:color="auto"/>
        </w:pBdr>
        <w:spacing w:before="0" w:after="240"/>
        <w:ind w:right="284" w:hanging="720"/>
      </w:pPr>
      <w:r>
        <w:t>References</w:t>
      </w:r>
    </w:p>
    <w:p w14:paraId="638CE6DE" w14:textId="45FB6F41" w:rsidR="00E54BEE" w:rsidRDefault="00E54BEE" w:rsidP="000E25E8">
      <w:pPr>
        <w:ind w:left="540" w:hanging="360"/>
        <w:rPr>
          <w:lang w:val="en-US"/>
        </w:rPr>
      </w:pPr>
      <w:r w:rsidRPr="00EE774B">
        <w:rPr>
          <w:lang w:val="en-US"/>
        </w:rPr>
        <w:t>[1]</w:t>
      </w:r>
      <w:r w:rsidR="00C87D97">
        <w:rPr>
          <w:lang w:val="en-US"/>
        </w:rPr>
        <w:t xml:space="preserve">  </w:t>
      </w:r>
      <w:r w:rsidRPr="00EE774B">
        <w:rPr>
          <w:lang w:val="en-US"/>
        </w:rPr>
        <w:t>3GPP T</w:t>
      </w:r>
      <w:r w:rsidR="00A50A0D">
        <w:rPr>
          <w:lang w:val="en-US"/>
        </w:rPr>
        <w:t>R</w:t>
      </w:r>
      <w:r w:rsidRPr="00EE774B">
        <w:rPr>
          <w:lang w:val="en-US"/>
        </w:rPr>
        <w:t xml:space="preserve"> 37.</w:t>
      </w:r>
      <w:r>
        <w:rPr>
          <w:lang w:val="en-US"/>
        </w:rPr>
        <w:t>84</w:t>
      </w:r>
      <w:r w:rsidR="00A50A0D">
        <w:rPr>
          <w:lang w:val="en-US"/>
        </w:rPr>
        <w:t>3</w:t>
      </w:r>
      <w:r>
        <w:rPr>
          <w:lang w:val="en-US"/>
        </w:rPr>
        <w:t xml:space="preserve"> </w:t>
      </w:r>
      <w:bookmarkEnd w:id="0"/>
    </w:p>
    <w:p w14:paraId="2B629486" w14:textId="77777777" w:rsidR="00CC41E7" w:rsidRDefault="00CC41E7" w:rsidP="000E25E8">
      <w:pPr>
        <w:spacing w:after="0"/>
        <w:ind w:left="540" w:hanging="360"/>
        <w:rPr>
          <w:rStyle w:val="Hyperlink"/>
          <w:lang w:val="en-US"/>
        </w:rPr>
      </w:pPr>
      <w:r>
        <w:t xml:space="preserve">[2] </w:t>
      </w:r>
      <w:r w:rsidRPr="009B5A07">
        <w:rPr>
          <w:lang w:val="en-US"/>
        </w:rPr>
        <w:t>Fridén, J.; Razavi, A. &amp; Stjernman, A.</w:t>
      </w:r>
      <w:r>
        <w:rPr>
          <w:lang w:val="en-US"/>
        </w:rPr>
        <w:t xml:space="preserve"> “</w:t>
      </w:r>
      <w:r w:rsidRPr="009B5A07">
        <w:rPr>
          <w:i/>
          <w:lang w:val="en-US"/>
        </w:rPr>
        <w:t>Angular sampling, Test Signal, and Near Field Aspects for Over-the-Air Total Radiated Power Assessment in Anechoic Chambers</w:t>
      </w:r>
      <w:r>
        <w:rPr>
          <w:lang w:val="en-US"/>
        </w:rPr>
        <w:t xml:space="preserve">” 2018. Available:  </w:t>
      </w:r>
      <w:hyperlink r:id="rId13" w:history="1">
        <w:r w:rsidRPr="007F0957">
          <w:rPr>
            <w:rStyle w:val="Hyperlink"/>
            <w:lang w:val="en-US"/>
          </w:rPr>
          <w:t>https://arxiv.org/abs/1803.10993</w:t>
        </w:r>
      </w:hyperlink>
    </w:p>
    <w:p w14:paraId="0820DC0C" w14:textId="57BA913C" w:rsidR="00560855" w:rsidRDefault="00560855" w:rsidP="00560855">
      <w:pPr>
        <w:rPr>
          <w:lang w:val="en-US"/>
        </w:rPr>
      </w:pPr>
    </w:p>
    <w:p w14:paraId="2F81BA80" w14:textId="6BFE0DE9" w:rsidR="00B256D4" w:rsidRDefault="00B256D4">
      <w:bookmarkStart w:id="2" w:name="_GoBack"/>
      <w:bookmarkEnd w:id="2"/>
    </w:p>
    <w:sectPr w:rsidR="00B256D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2674E" w14:textId="77777777" w:rsidR="007A0411" w:rsidRDefault="007A0411">
      <w:pPr>
        <w:spacing w:after="0"/>
      </w:pPr>
      <w:r>
        <w:separator/>
      </w:r>
    </w:p>
  </w:endnote>
  <w:endnote w:type="continuationSeparator" w:id="0">
    <w:p w14:paraId="48CAC7E9" w14:textId="77777777" w:rsidR="007A0411" w:rsidRDefault="007A04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8E49D" w14:textId="77777777" w:rsidR="00EF1FC5" w:rsidRDefault="001A36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48C2B" w14:textId="77777777" w:rsidR="007A0411" w:rsidRDefault="007A0411">
      <w:pPr>
        <w:spacing w:after="0"/>
      </w:pPr>
      <w:r>
        <w:separator/>
      </w:r>
    </w:p>
  </w:footnote>
  <w:footnote w:type="continuationSeparator" w:id="0">
    <w:p w14:paraId="6BB39BF6" w14:textId="77777777" w:rsidR="007A0411" w:rsidRDefault="007A04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2B195" w14:textId="77777777" w:rsidR="00EF1FC5" w:rsidRDefault="00402053">
    <w:pPr>
      <w:framePr w:h="284" w:hRule="exact" w:wrap="around" w:vAnchor="text" w:hAnchor="margin" w:xAlign="right" w:y="1"/>
      <w:rPr>
        <w:rFonts w:ascii="Arial" w:hAnsi="Arial" w:cs="Arial"/>
        <w:b/>
        <w:sz w:val="18"/>
        <w:szCs w:val="18"/>
      </w:rPr>
    </w:pPr>
  </w:p>
  <w:p w14:paraId="376376FF" w14:textId="77777777" w:rsidR="00EF1FC5" w:rsidRDefault="001A36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7DD8F49E" w14:textId="77777777" w:rsidR="00EF1FC5" w:rsidRDefault="00402053">
    <w:pPr>
      <w:framePr w:h="284" w:hRule="exact" w:wrap="around" w:vAnchor="text" w:hAnchor="margin" w:y="7"/>
      <w:rPr>
        <w:rFonts w:ascii="Arial" w:hAnsi="Arial" w:cs="Arial"/>
        <w:b/>
        <w:sz w:val="18"/>
        <w:szCs w:val="18"/>
      </w:rPr>
    </w:pPr>
  </w:p>
  <w:p w14:paraId="072D4564" w14:textId="77777777" w:rsidR="00EF1FC5" w:rsidRDefault="004020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B209C6"/>
    <w:multiLevelType w:val="hybridMultilevel"/>
    <w:tmpl w:val="6164AE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1304"/>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BEE"/>
    <w:rsid w:val="000302AE"/>
    <w:rsid w:val="00040844"/>
    <w:rsid w:val="000522CC"/>
    <w:rsid w:val="0006572D"/>
    <w:rsid w:val="0007672F"/>
    <w:rsid w:val="000B58C0"/>
    <w:rsid w:val="000E25E8"/>
    <w:rsid w:val="000F7227"/>
    <w:rsid w:val="00150AD7"/>
    <w:rsid w:val="00180D86"/>
    <w:rsid w:val="001A3653"/>
    <w:rsid w:val="001B0A86"/>
    <w:rsid w:val="001B5E31"/>
    <w:rsid w:val="001D43F7"/>
    <w:rsid w:val="001F0AB0"/>
    <w:rsid w:val="00230CDE"/>
    <w:rsid w:val="00236825"/>
    <w:rsid w:val="00237E3E"/>
    <w:rsid w:val="002A5E5E"/>
    <w:rsid w:val="002B0C2D"/>
    <w:rsid w:val="002B3B50"/>
    <w:rsid w:val="003306A0"/>
    <w:rsid w:val="003515B7"/>
    <w:rsid w:val="00365672"/>
    <w:rsid w:val="00372CE0"/>
    <w:rsid w:val="003C760A"/>
    <w:rsid w:val="003E1B1A"/>
    <w:rsid w:val="00460B38"/>
    <w:rsid w:val="004A0AA1"/>
    <w:rsid w:val="004D6992"/>
    <w:rsid w:val="004E0690"/>
    <w:rsid w:val="004E0A8B"/>
    <w:rsid w:val="004F00A4"/>
    <w:rsid w:val="00505838"/>
    <w:rsid w:val="0052032D"/>
    <w:rsid w:val="00560855"/>
    <w:rsid w:val="0058445F"/>
    <w:rsid w:val="005A4F68"/>
    <w:rsid w:val="00605027"/>
    <w:rsid w:val="00633CB9"/>
    <w:rsid w:val="00646DF0"/>
    <w:rsid w:val="0065236E"/>
    <w:rsid w:val="0068202B"/>
    <w:rsid w:val="006820EE"/>
    <w:rsid w:val="0069257A"/>
    <w:rsid w:val="006D057B"/>
    <w:rsid w:val="006E6938"/>
    <w:rsid w:val="00716165"/>
    <w:rsid w:val="00720C14"/>
    <w:rsid w:val="00732763"/>
    <w:rsid w:val="00755F64"/>
    <w:rsid w:val="007A0411"/>
    <w:rsid w:val="007C28F3"/>
    <w:rsid w:val="007C789B"/>
    <w:rsid w:val="007D5679"/>
    <w:rsid w:val="00820B6E"/>
    <w:rsid w:val="008377AD"/>
    <w:rsid w:val="008648AA"/>
    <w:rsid w:val="00884611"/>
    <w:rsid w:val="008E5CA1"/>
    <w:rsid w:val="009045AA"/>
    <w:rsid w:val="00964982"/>
    <w:rsid w:val="00973644"/>
    <w:rsid w:val="00973FC6"/>
    <w:rsid w:val="009A00E6"/>
    <w:rsid w:val="009D2A34"/>
    <w:rsid w:val="00A2287F"/>
    <w:rsid w:val="00A37FCB"/>
    <w:rsid w:val="00A4569F"/>
    <w:rsid w:val="00A50A0D"/>
    <w:rsid w:val="00A730BF"/>
    <w:rsid w:val="00A95F55"/>
    <w:rsid w:val="00AA1787"/>
    <w:rsid w:val="00AA4F02"/>
    <w:rsid w:val="00AB0D06"/>
    <w:rsid w:val="00B256D4"/>
    <w:rsid w:val="00B359FF"/>
    <w:rsid w:val="00B47927"/>
    <w:rsid w:val="00B50151"/>
    <w:rsid w:val="00B54D91"/>
    <w:rsid w:val="00B569AE"/>
    <w:rsid w:val="00B61757"/>
    <w:rsid w:val="00BB0A7D"/>
    <w:rsid w:val="00BD3268"/>
    <w:rsid w:val="00C50730"/>
    <w:rsid w:val="00C7770F"/>
    <w:rsid w:val="00C87D97"/>
    <w:rsid w:val="00CC129B"/>
    <w:rsid w:val="00CC41E7"/>
    <w:rsid w:val="00D536CC"/>
    <w:rsid w:val="00DA3C1F"/>
    <w:rsid w:val="00E06EB6"/>
    <w:rsid w:val="00E36453"/>
    <w:rsid w:val="00E54BEE"/>
    <w:rsid w:val="00EA4790"/>
    <w:rsid w:val="00EB6B72"/>
    <w:rsid w:val="00F379A0"/>
    <w:rsid w:val="00F47BD9"/>
    <w:rsid w:val="00F67C06"/>
    <w:rsid w:val="00F84ACB"/>
    <w:rsid w:val="00F84CBB"/>
    <w:rsid w:val="00F91964"/>
    <w:rsid w:val="00FD45AB"/>
    <w:rsid w:val="00FE3CA3"/>
    <w:rsid w:val="00FF545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16796"/>
  <w15:chartTrackingRefBased/>
  <w15:docId w15:val="{A075859C-161E-4154-B25D-7156028A5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4BEE"/>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E54BE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4">
    <w:name w:val="heading 4"/>
    <w:basedOn w:val="Normal"/>
    <w:next w:val="Normal"/>
    <w:link w:val="Heading4Char"/>
    <w:uiPriority w:val="9"/>
    <w:semiHidden/>
    <w:unhideWhenUsed/>
    <w:qFormat/>
    <w:rsid w:val="006820E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54BEE"/>
    <w:rPr>
      <w:rFonts w:ascii="Arial" w:eastAsia="Times New Roman" w:hAnsi="Arial" w:cs="Times New Roman"/>
      <w:sz w:val="36"/>
      <w:szCs w:val="20"/>
      <w:lang w:val="en-GB"/>
    </w:rPr>
  </w:style>
  <w:style w:type="paragraph" w:styleId="Header">
    <w:name w:val="header"/>
    <w:link w:val="HeaderChar"/>
    <w:rsid w:val="00E54BE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E54BEE"/>
    <w:rPr>
      <w:rFonts w:ascii="Arial" w:eastAsia="Times New Roman" w:hAnsi="Arial" w:cs="Times New Roman"/>
      <w:b/>
      <w:noProof/>
      <w:sz w:val="18"/>
      <w:szCs w:val="20"/>
      <w:lang w:val="en-GB" w:eastAsia="ja-JP"/>
    </w:rPr>
  </w:style>
  <w:style w:type="paragraph" w:styleId="Footer">
    <w:name w:val="footer"/>
    <w:basedOn w:val="Header"/>
    <w:link w:val="FooterChar"/>
    <w:rsid w:val="00E54BEE"/>
    <w:pPr>
      <w:jc w:val="center"/>
    </w:pPr>
    <w:rPr>
      <w:i/>
    </w:rPr>
  </w:style>
  <w:style w:type="character" w:customStyle="1" w:styleId="FooterChar">
    <w:name w:val="Footer Char"/>
    <w:basedOn w:val="DefaultParagraphFont"/>
    <w:link w:val="Footer"/>
    <w:rsid w:val="00E54BEE"/>
    <w:rPr>
      <w:rFonts w:ascii="Arial" w:eastAsia="Times New Roman" w:hAnsi="Arial" w:cs="Times New Roman"/>
      <w:b/>
      <w:i/>
      <w:noProof/>
      <w:sz w:val="18"/>
      <w:szCs w:val="20"/>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E54BEE"/>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E54BEE"/>
    <w:rPr>
      <w:rFonts w:ascii="Times New Roman" w:eastAsia="Times New Roman" w:hAnsi="Times New Roman" w:cs="Times New Roman"/>
      <w:sz w:val="20"/>
      <w:szCs w:val="20"/>
      <w:lang w:val="en-GB"/>
    </w:rPr>
  </w:style>
  <w:style w:type="paragraph" w:customStyle="1" w:styleId="CRCoverPage">
    <w:name w:val="CR Cover Page"/>
    <w:link w:val="CRCoverPageChar"/>
    <w:rsid w:val="00E54BEE"/>
    <w:pPr>
      <w:spacing w:after="120" w:line="240" w:lineRule="auto"/>
    </w:pPr>
    <w:rPr>
      <w:rFonts w:ascii="Arial" w:eastAsia="Times New Roman" w:hAnsi="Arial" w:cs="Times New Roman"/>
      <w:sz w:val="20"/>
      <w:szCs w:val="20"/>
    </w:rPr>
  </w:style>
  <w:style w:type="character" w:customStyle="1" w:styleId="CRCoverPageChar">
    <w:name w:val="CR Cover Page Char"/>
    <w:link w:val="CRCoverPage"/>
    <w:rsid w:val="00E54BEE"/>
    <w:rPr>
      <w:rFonts w:ascii="Arial" w:eastAsia="Times New Roman" w:hAnsi="Arial" w:cs="Times New Roman"/>
      <w:sz w:val="20"/>
      <w:szCs w:val="20"/>
    </w:rPr>
  </w:style>
  <w:style w:type="character" w:styleId="PlaceholderText">
    <w:name w:val="Placeholder Text"/>
    <w:basedOn w:val="DefaultParagraphFont"/>
    <w:uiPriority w:val="99"/>
    <w:semiHidden/>
    <w:rsid w:val="0052032D"/>
    <w:rPr>
      <w:color w:val="808080"/>
    </w:rPr>
  </w:style>
  <w:style w:type="character" w:styleId="CommentReference">
    <w:name w:val="annotation reference"/>
    <w:basedOn w:val="DefaultParagraphFont"/>
    <w:uiPriority w:val="99"/>
    <w:semiHidden/>
    <w:unhideWhenUsed/>
    <w:rsid w:val="004D6992"/>
    <w:rPr>
      <w:sz w:val="16"/>
      <w:szCs w:val="16"/>
    </w:rPr>
  </w:style>
  <w:style w:type="paragraph" w:styleId="CommentText">
    <w:name w:val="annotation text"/>
    <w:basedOn w:val="Normal"/>
    <w:link w:val="CommentTextChar"/>
    <w:uiPriority w:val="99"/>
    <w:semiHidden/>
    <w:unhideWhenUsed/>
    <w:rsid w:val="004D6992"/>
  </w:style>
  <w:style w:type="character" w:customStyle="1" w:styleId="CommentTextChar">
    <w:name w:val="Comment Text Char"/>
    <w:basedOn w:val="DefaultParagraphFont"/>
    <w:link w:val="CommentText"/>
    <w:uiPriority w:val="99"/>
    <w:semiHidden/>
    <w:rsid w:val="004D699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D6992"/>
    <w:rPr>
      <w:b/>
      <w:bCs/>
    </w:rPr>
  </w:style>
  <w:style w:type="character" w:customStyle="1" w:styleId="CommentSubjectChar">
    <w:name w:val="Comment Subject Char"/>
    <w:basedOn w:val="CommentTextChar"/>
    <w:link w:val="CommentSubject"/>
    <w:uiPriority w:val="99"/>
    <w:semiHidden/>
    <w:rsid w:val="004D6992"/>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4D69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6992"/>
    <w:rPr>
      <w:rFonts w:ascii="Segoe UI" w:eastAsia="Times New Roman" w:hAnsi="Segoe UI" w:cs="Segoe UI"/>
      <w:sz w:val="18"/>
      <w:szCs w:val="18"/>
      <w:lang w:val="en-GB"/>
    </w:rPr>
  </w:style>
  <w:style w:type="character" w:styleId="Hyperlink">
    <w:name w:val="Hyperlink"/>
    <w:rsid w:val="00CC41E7"/>
    <w:rPr>
      <w:color w:val="0563C1"/>
      <w:u w:val="single"/>
    </w:rPr>
  </w:style>
  <w:style w:type="character" w:customStyle="1" w:styleId="Heading4Char">
    <w:name w:val="Heading 4 Char"/>
    <w:basedOn w:val="DefaultParagraphFont"/>
    <w:link w:val="Heading4"/>
    <w:uiPriority w:val="9"/>
    <w:semiHidden/>
    <w:rsid w:val="006820EE"/>
    <w:rPr>
      <w:rFonts w:asciiTheme="majorHAnsi" w:eastAsiaTheme="majorEastAsia" w:hAnsiTheme="majorHAnsi" w:cstheme="majorBidi"/>
      <w:i/>
      <w:iCs/>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arxiv.org/abs/1803.10993"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5NUHHDQN7SK2-1476151046-24913</_dlc_DocId>
    <_dlc_DocIdUrl xmlns="f166a696-7b5b-4ccd-9f0c-ffde0cceec81">
      <Url>https://ericsson.sharepoint.com/sites/star/_layouts/15/DocIdRedir.aspx?ID=5NUHHDQN7SK2-1476151046-24913</Url>
      <Description>5NUHHDQN7SK2-1476151046-24913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1357E5F-A76D-49F0-80BE-C0F60C415E76}">
  <ds:schemaRefs>
    <ds:schemaRef ds:uri="Microsoft.SharePoint.Taxonomy.ContentTypeSync"/>
  </ds:schemaRefs>
</ds:datastoreItem>
</file>

<file path=customXml/itemProps2.xml><?xml version="1.0" encoding="utf-8"?>
<ds:datastoreItem xmlns:ds="http://schemas.openxmlformats.org/officeDocument/2006/customXml" ds:itemID="{A2D8C7E6-0050-42C6-A4AD-2506D1170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8A38BA-F1C6-4455-A600-50377C257C05}">
  <ds:schemaRefs>
    <ds:schemaRef ds:uri="http://purl.org/dc/dcmitype/"/>
    <ds:schemaRef ds:uri="http://schemas.microsoft.com/office/2006/documentManagement/types"/>
    <ds:schemaRef ds:uri="611109f9-ed58-4498-a270-1fb2086a5321"/>
    <ds:schemaRef ds:uri="d8762117-8292-4133-b1c7-eab5c6487cfd"/>
    <ds:schemaRef ds:uri="http://purl.org/dc/elements/1.1/"/>
    <ds:schemaRef ds:uri="http://purl.org/dc/terms/"/>
    <ds:schemaRef ds:uri="f166a696-7b5b-4ccd-9f0c-ffde0cceec81"/>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http://schemas.microsoft.com/sharepoint/v4"/>
  </ds:schemaRefs>
</ds:datastoreItem>
</file>

<file path=customXml/itemProps4.xml><?xml version="1.0" encoding="utf-8"?>
<ds:datastoreItem xmlns:ds="http://schemas.openxmlformats.org/officeDocument/2006/customXml" ds:itemID="{1DD07E55-615E-4F51-A448-4C3D20F68962}">
  <ds:schemaRefs>
    <ds:schemaRef ds:uri="http://schemas.microsoft.com/sharepoint/v3/contenttype/forms"/>
  </ds:schemaRefs>
</ds:datastoreItem>
</file>

<file path=customXml/itemProps5.xml><?xml version="1.0" encoding="utf-8"?>
<ds:datastoreItem xmlns:ds="http://schemas.openxmlformats.org/officeDocument/2006/customXml" ds:itemID="{A513ED52-CB76-4B8A-B8DA-80BAA20D714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482</Words>
  <Characters>2750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Aidin Razavi</dc:creator>
  <cp:keywords/>
  <dc:description/>
  <cp:lastModifiedBy>Aurelian Bria</cp:lastModifiedBy>
  <cp:revision>2</cp:revision>
  <dcterms:created xsi:type="dcterms:W3CDTF">2018-06-25T16:33:00Z</dcterms:created>
  <dcterms:modified xsi:type="dcterms:W3CDTF">2018-06-25T16:33:00Z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8bcf3d22-7ac1-4675-8519-11564290717d</vt:lpwstr>
  </property>
</Properties>
</file>